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6" w:rsidRPr="00BD1556" w:rsidRDefault="00BD1556" w:rsidP="00BD1556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BD155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Pourquoi </w:t>
      </w:r>
      <w:proofErr w:type="spellStart"/>
      <w:r w:rsidRPr="00BD155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Recylex</w:t>
      </w:r>
      <w:proofErr w:type="spellEnd"/>
      <w:r w:rsidRPr="00BD1556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 xml:space="preserve"> ne tiendra pas son objectif 2018</w:t>
      </w:r>
    </w:p>
    <w:p w:rsidR="00BD1556" w:rsidRPr="00BD1556" w:rsidRDefault="00BD1556" w:rsidP="00BD1556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BD1556">
        <w:rPr>
          <w:rFonts w:eastAsia="Times New Roman" w:cstheme="minorHAnsi"/>
          <w:sz w:val="24"/>
          <w:szCs w:val="24"/>
          <w:lang w:eastAsia="fr-BE"/>
        </w:rPr>
        <w:t>Le retard de mise en service d’un nouveau four a entraîné un ralentissement de l’activité du groupe.</w:t>
      </w:r>
    </w:p>
    <w:p w:rsidR="00BD1556" w:rsidRPr="00BD1556" w:rsidRDefault="00BD1556" w:rsidP="00BD15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>Recylex</w:t>
      </w:r>
      <w:proofErr w:type="spellEnd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ne pourra pas réaliser son objectif de génération de cash-flow (flux de trésorerie) aux échéances du 30 septembre et du 31 décembre 2018.</w:t>
      </w:r>
    </w:p>
    <w:p w:rsidR="00BD1556" w:rsidRPr="00BD1556" w:rsidRDefault="00BD1556" w:rsidP="00BD15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 cause, les difficultés rencontrées lors de la mise en service de son nouveau four de réduction dans sa fonderie de </w:t>
      </w:r>
      <w:proofErr w:type="spellStart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>Nordenham</w:t>
      </w:r>
      <w:proofErr w:type="spellEnd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(125 000 tonnes par an de plomb), en </w:t>
      </w:r>
      <w:hyperlink r:id="rId5" w:tgtFrame="" w:tooltip="Toute l'information économique et industrielle en Allemagne" w:history="1">
        <w:r w:rsidRPr="00BD1556">
          <w:rPr>
            <w:rFonts w:eastAsia="Times New Roman" w:cstheme="minorHAnsi"/>
            <w:color w:val="000000"/>
            <w:sz w:val="24"/>
            <w:szCs w:val="24"/>
            <w:u w:val="single"/>
            <w:lang w:eastAsia="fr-BE"/>
          </w:rPr>
          <w:t>Allemagne</w:t>
        </w:r>
      </w:hyperlink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>, pour lequel l’entreprise a déboursé 40 millions d’euros. La production de plomb issue du four principal a davantage diminué que prévu lors des travaux, destinés à résorber les pertes métallurgiques sur le site. Des experts ont été dépêchés sur place pour aboutir, dans les prochaines semaines, à un fonctionnement conjoint complet des deux fours.</w:t>
      </w:r>
    </w:p>
    <w:p w:rsidR="00BD1556" w:rsidRPr="00BD1556" w:rsidRDefault="00BD1556" w:rsidP="00BD155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>Le groupe spécialisé dans le recyclage de batteries usagées et de zinc (450 millions d’euros de chiffre d’affaires) est soumis à une série d’objectifs dans le cadre de son plan de financement de 67</w:t>
      </w:r>
      <w:proofErr w:type="gramStart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>?millions</w:t>
      </w:r>
      <w:proofErr w:type="gramEnd"/>
      <w:r w:rsidRPr="00BD1556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d’euros signé en décembre 2016. Ses échéances de remboursement s’échelonnent de juin 2018 à juin 2024.</w:t>
      </w:r>
    </w:p>
    <w:p w:rsidR="004E7964" w:rsidRDefault="004E7964"/>
    <w:sectPr w:rsidR="004E7964" w:rsidSect="004E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07F6"/>
    <w:multiLevelType w:val="multilevel"/>
    <w:tmpl w:val="9DB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80693"/>
    <w:multiLevelType w:val="multilevel"/>
    <w:tmpl w:val="E4A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D1556"/>
    <w:rsid w:val="004E7964"/>
    <w:rsid w:val="00BD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64"/>
  </w:style>
  <w:style w:type="paragraph" w:styleId="Titre1">
    <w:name w:val="heading 1"/>
    <w:basedOn w:val="Normal"/>
    <w:link w:val="Titre1Car"/>
    <w:uiPriority w:val="9"/>
    <w:qFormat/>
    <w:rsid w:val="00BD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155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BD1556"/>
    <w:rPr>
      <w:color w:val="0000FF"/>
      <w:u w:val="single"/>
    </w:rPr>
  </w:style>
  <w:style w:type="character" w:customStyle="1" w:styleId="tagart">
    <w:name w:val="tagart"/>
    <w:basedOn w:val="Policepardfaut"/>
    <w:rsid w:val="00BD1556"/>
  </w:style>
  <w:style w:type="paragraph" w:customStyle="1" w:styleId="datetime">
    <w:name w:val="datetime"/>
    <w:basedOn w:val="Normal"/>
    <w:rsid w:val="00B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bloc">
    <w:name w:val="titrebloc"/>
    <w:basedOn w:val="Normal"/>
    <w:rsid w:val="00B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BD1556"/>
  </w:style>
  <w:style w:type="paragraph" w:styleId="NormalWeb">
    <w:name w:val="Normal (Web)"/>
    <w:basedOn w:val="Normal"/>
    <w:uiPriority w:val="99"/>
    <w:semiHidden/>
    <w:unhideWhenUsed/>
    <w:rsid w:val="00B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91">
          <w:marLeft w:val="0"/>
          <w:marRight w:val="407"/>
          <w:marTop w:val="5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8402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inenouvelle.com/allemag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2018-09-05T07:24:00Z</dcterms:created>
  <dcterms:modified xsi:type="dcterms:W3CDTF">2018-09-05T07:26:00Z</dcterms:modified>
</cp:coreProperties>
</file>